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7М04238 – «Антикоррупционный комплаенс и превенция»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104109 - Правовое обеспечение цифровизации государственных услуг </w:t>
      </w:r>
    </w:p>
    <w:p w:rsidR="00000000" w:rsidDel="00000000" w:rsidP="00000000" w:rsidRDefault="00000000" w:rsidRPr="00000000" w14:paraId="00000005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  <w:tblGridChange w:id="0">
          <w:tblGrid>
            <w:gridCol w:w="1699"/>
            <w:gridCol w:w="1275"/>
            <w:gridCol w:w="994"/>
            <w:gridCol w:w="992"/>
            <w:gridCol w:w="1134"/>
            <w:gridCol w:w="710"/>
            <w:gridCol w:w="1417"/>
            <w:gridCol w:w="2269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(СРМ)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 руководством преподавателя (СРМП)</w:t>
            </w: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Лекции (Л)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Практ. занятия (ПЗ)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Лаб. занятия (ЛЗ)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104103 Правовое обеспечение цифровизации государственных услуг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ИНФОРМАЦИЯ О ДИСЦИПЛИНЕ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Формат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лекций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практических занятий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Офлайн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ПД. Вузовский 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Теоретическая, аналитическая, прикладная лекция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Дискуссия, тест-опрос, дебаты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Устный экзамен офлайн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Лектор 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Ассистент-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ПРЕЗЕНТАЦИЯ ДИСЦИПЛИНЫ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Цель дисциплины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Цель - сформировать целостное представление об особенностях правового обеспечения цифровизации государственных услуг; объяснять сущнoсть гoсудapственнoго упpaвления пo оказанию гoсудapственных услуг в электронном формате; Будут изучены – особенности правового обеспечения цифровизации государственных услуг; действующее законодательство, регулирующее предоставление гoсудapственных услуг; проблемы пpименения действующего законодательства по цифровизации государственных услуг.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166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Демонстрировать понимание определения государственных услуг для четкого разделения их на виды.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Аргументирует специфику конституционно-правового закрепления </w:t>
            </w:r>
            <w:r w:rsidDel="00000000" w:rsidR="00000000" w:rsidRPr="00000000">
              <w:rPr>
                <w:rtl w:val="0"/>
              </w:rPr>
              <w:t xml:space="preserve">определения государственных услуг.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 Определяет место и роль видов государственных услуг для эффективного функционирования системы электронного правительства.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6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Дифференцировать методы анализа понятия и специфику цифровизации государственного управления, ее особенности на основе критической оценки правовых основ цифровизации государственных услуг.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2.1 Применяет методики анализа </w:t>
            </w:r>
            <w:r w:rsidDel="00000000" w:rsidR="00000000" w:rsidRPr="00000000">
              <w:rPr>
                <w:rtl w:val="0"/>
              </w:rPr>
              <w:t xml:space="preserve">понятия и специфики цифровизации государственного управления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2.2 Интерпретирует особенности </w:t>
            </w:r>
            <w:r w:rsidDel="00000000" w:rsidR="00000000" w:rsidRPr="00000000">
              <w:rPr>
                <w:rtl w:val="0"/>
              </w:rPr>
              <w:t xml:space="preserve">правовых основ цифровизации государственных услуг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2.3 Анализирует специфику законодательного закрепления цифровизации государственного управления.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Анализировать и выявлять специфику и основные тенденции развития цифрового профиля гражданина на основе критической оценки его цифрового оформления на портале «Электронного правительства для граждан».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 Классифицирует методики оценки понятия цифрового профиля гражданина.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3.2 Сопоставляет специфику порядка закрепления цифрового профиля гражданина и юридического лица 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 Выявляет сходство и различия статуса цифрового профиля гражданина РК, иностранного гражданина и лиц без гражданства.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Составлять рекомендации по правовому оформлению цифрового правительства для совершенствования порядка повышения эффективности деятельности Единого портала предоставления государственных услуг.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</w:t>
              <w:tab/>
              <w:t xml:space="preserve">Разрабатывает меры по </w:t>
            </w:r>
            <w:r w:rsidDel="00000000" w:rsidR="00000000" w:rsidRPr="00000000">
              <w:rPr>
                <w:color w:val="000000"/>
                <w:rtl w:val="0"/>
              </w:rPr>
              <w:t xml:space="preserve">совершенствованию эффективной деятельности цифрового правительства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Объясняет причины затруднений в периодических перебоях работы электронного правительства.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 Составляет планы по совершенствованию деятельности Единого портала предоставления государственных услуг.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Давать оценку практики функционирования электронного правительства на основе анализа законодательства для укрепления принципа открытости (транспарентности) государственной власти.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Обосновывает необходимость анализа опыта укрепления принципа открытости (транспарентности) государственной власти.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Оценивает опыт зарубежных стран в укреплении принципа открытости (транспарентности) государственной власти.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Дает оценку возможности применения положительного опыта зарубежных стран в повышении открытости (транспарентности) государственной власти.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6.1</w:t>
            </w:r>
            <w:r w:rsidDel="00000000" w:rsidR="00000000" w:rsidRPr="00000000">
              <w:rPr>
                <w:color w:val="000000"/>
                <w:rtl w:val="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  <w:r w:rsidDel="00000000" w:rsidR="00000000" w:rsidRPr="00000000">
              <w:rPr>
                <w:color w:val="000000"/>
                <w:rtl w:val="0"/>
              </w:rPr>
              <w:t xml:space="preserve">  Обосновывает постановку конкретных проблем в деятельности государственных служащих в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6.3</w:t>
            </w:r>
            <w:r w:rsidDel="00000000" w:rsidR="00000000" w:rsidRPr="00000000">
              <w:rPr>
                <w:color w:val="000000"/>
                <w:rtl w:val="0"/>
              </w:rPr>
              <w:t xml:space="preserve">  Составляет и подготавливает научные исследования по указанной тематике.</w:t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Пререквизиты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Правовое обеспечение комплаенс-службы в Республике Казахстан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Правовые основы кадровой политики в Республике Казахстан</w:t>
            </w:r>
          </w:p>
          <w:p w:rsidR="00000000" w:rsidDel="00000000" w:rsidP="00000000" w:rsidRDefault="00000000" w:rsidRPr="00000000" w14:paraId="000001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Правовые основы оказания квалифицированной юридической помощи</w:t>
            </w:r>
          </w:p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Государственно-правовое регулирование превенции в Республике Казахстан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Постреквизиты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Правовое регулирование кибербезопасности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Государственная служба и муниципальная служба: тенденции развития.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Правосознание и правовая культура государственных служащих</w:t>
            </w:r>
          </w:p>
        </w:tc>
      </w:tr>
      <w:tr>
        <w:trPr>
          <w:cantSplit w:val="0"/>
          <w:trHeight w:val="13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before="9" w:line="233" w:lineRule="auto"/>
              <w:ind w:left="127" w:right="-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Нормативные акты: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 1995 г. </w:t>
            </w:r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https://online.zakon.kz/Document/?doc_id=1005029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Закон Республики Казахстан “О государственной службе” от 23.11.2015г.</w:t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firstLine="0"/>
              <w:jc w:val="both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https://adilet.zan.kz/rus/docs/Z1500000416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107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spacing w:before="4" w:lineRule="auto"/>
              <w:ind w:left="827" w:right="21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Сергеева В.Н Цифровизация государственного управления. Учебное пособие. – ФГБОУ ВО «Московский государственный университет технологий и управления им. К.Г. Разумовского». – Киров, 2024.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Антикоррупционная политика, под. ред. Сатарова. Учебник для ВУЗов, 2-е изд. пер. и доп., 2020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Дёмин А.А. Государственная и муниципальная служба. Учебник. 2-е изд. пер. и доп., 2020;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Борщевский Г.А. Государственная служба. Учебник и практикум для ВУЗов. 3-е изд. доп. и  испр., 2020.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Базы практик: Маслихаты и акиматы г. Алматы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Профессиональные научные базы данных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Академия Google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Кибер Ленинка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Springer Nature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Scopus корпорация Elsevier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Научная электронная библиотека eLIBRARY.RU</w:t>
            </w:r>
          </w:p>
          <w:p w:rsidR="00000000" w:rsidDel="00000000" w:rsidP="00000000" w:rsidRDefault="00000000" w:rsidRPr="00000000" w14:paraId="00000131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Интернет-ресурсы: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Массовый образовательный онлайн курс «Конституционное право РК» http:// open.kaznu.kz/courses/KazNU/LAW300/2016_C1/about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Правовая база Аdilet.gov.kz  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Научная электронная база библиотека </w:t>
            </w:r>
            <w:hyperlink r:id="rId10">
              <w:r w:rsidDel="00000000" w:rsidR="00000000" w:rsidRPr="00000000">
                <w:rPr>
                  <w:rtl w:val="0"/>
                </w:rPr>
                <w:t xml:space="preserve">www.eLIBRARY.RU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  <w:tblGridChange w:id="0">
          <w:tblGrid>
            <w:gridCol w:w="851"/>
            <w:gridCol w:w="851"/>
            <w:gridCol w:w="283"/>
            <w:gridCol w:w="1134"/>
            <w:gridCol w:w="1843"/>
            <w:gridCol w:w="3260"/>
            <w:gridCol w:w="2268"/>
          </w:tblGrid>
        </w:tblGridChange>
      </w:tblGrid>
      <w:tr>
        <w:trPr>
          <w:cantSplit w:val="0"/>
          <w:trHeight w:val="55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Академическая политика дисциплины определяется </w:t>
            </w:r>
            <w:hyperlink r:id="rId1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и </w:t>
            </w:r>
            <w:hyperlink r:id="rId12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Посещаемость.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, </w:t>
            </w:r>
            <w:hyperlink r:id="rId1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dina_405@mail.ru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Ссылка на собрание в MS Teams </w:t>
            </w:r>
            <w:hyperlink r:id="rId16">
              <w:r w:rsidDel="00000000" w:rsidR="00000000" w:rsidRPr="00000000">
                <w:rPr>
                  <w:rtl w:val="0"/>
                </w:rPr>
                <w:t xml:space="preserve">https://teams.live.com/meet/9468524978539?p=lx5cnYWAXOQuKwRp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:rsidR="00000000" w:rsidDel="00000000" w:rsidP="00000000" w:rsidRDefault="00000000" w:rsidRPr="00000000" w14:paraId="000001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5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6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6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sz w:val="16"/>
                <w:szCs w:val="16"/>
              </w:rPr>
            </w:pPr>
            <w:bookmarkStart w:colFirst="0" w:colLast="0" w:name="_wth5pzbwoodt" w:id="0"/>
            <w:bookmarkEnd w:id="0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Проводится 5 раз за семестр при выполнении СРM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 % содержание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Самостоятельная работа                                    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25-49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1C3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9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"/>
        <w:gridCol w:w="8050"/>
        <w:gridCol w:w="861"/>
        <w:gridCol w:w="727"/>
        <w:tblGridChange w:id="0">
          <w:tblGrid>
            <w:gridCol w:w="871"/>
            <w:gridCol w:w="8050"/>
            <w:gridCol w:w="861"/>
            <w:gridCol w:w="7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Неделя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 темы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tabs>
                <w:tab w:val="left" w:leader="none" w:pos="1276"/>
              </w:tabs>
              <w:ind w:left="-68" w:firstLine="26.00000000000000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Макс.</w:t>
            </w:r>
          </w:p>
          <w:p w:rsidR="00000000" w:rsidDel="00000000" w:rsidP="00000000" w:rsidRDefault="00000000" w:rsidRPr="00000000" w14:paraId="000001CF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D0">
            <w:pPr>
              <w:tabs>
                <w:tab w:val="left" w:leader="none" w:pos="1276"/>
              </w:tabs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1. Понятие и специфика цифровизации государственных услуг в РК в современный период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государственных услуг, их связь с общими проблемами развития государственного управления.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С1. </w:t>
            </w:r>
            <w:r w:rsidDel="00000000" w:rsidR="00000000" w:rsidRPr="00000000">
              <w:rPr>
                <w:rtl w:val="0"/>
              </w:rPr>
              <w:t xml:space="preserve">Определить особенности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понятия государственных услуг, а также их связь с общими проблемами развития государственного управления.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D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2.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цифровизации и её специфика в сфере государственного управления и государственных услуг.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2.</w:t>
            </w:r>
            <w:r w:rsidDel="00000000" w:rsidR="00000000" w:rsidRPr="00000000">
              <w:rPr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Классифицировать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цифровизации и её специфику в сферах государственного управления и государственных услуг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Электронное правительство и открытость (транспарентность) государственной власти.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Обосновать разные подходы к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электронному правительству и открытости (транспарентности) государственной власти </w:t>
            </w:r>
            <w:r w:rsidDel="00000000" w:rsidR="00000000" w:rsidRPr="00000000">
              <w:rPr>
                <w:color w:val="000000"/>
                <w:rtl w:val="0"/>
              </w:rPr>
              <w:t xml:space="preserve">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tabs>
                <w:tab w:val="left" w:leader="none" w:pos="1276"/>
              </w:tabs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1 – Консультация по выполнению СРМ 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2. Правовое обеспечение цифрового правительства и цифрового профиля гражданина в РК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Принципы цифровизации государственных услуг и их правовое обеспечение.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Определить дальнейшее развитие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принципов цифровизации государственных услуг и их правовое обеспечение.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 1.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правового регулирования (обеспечения) общественных отношений, его специфика сфере государственных услуг.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0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Элементы цифрового правительства и их правовое закрепление</w:t>
            </w:r>
            <w:r w:rsidDel="00000000" w:rsidR="00000000" w:rsidRPr="00000000">
              <w:rPr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цифрового правительства и их правовое закрепление</w:t>
            </w:r>
            <w:r w:rsidDel="00000000" w:rsidR="00000000" w:rsidRPr="00000000">
              <w:rPr>
                <w:color w:val="000000"/>
                <w:rtl w:val="0"/>
              </w:rPr>
              <w:t xml:space="preserve">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2 – Консультация по выполнению СРМ 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0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6.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и правовое обеспечение цифрового профиля гражданина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6.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особенности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понятия и правового обеспечения цифрового профиля гражданина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 2.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получения государственных услуг по вопросам здравоохранения.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Правовое обеспечение получения разных видов государственных услуг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1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7.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получения государственных услуг по вопросам семьи и регистрации актов гражданского состояния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7.</w:t>
            </w:r>
            <w:r w:rsidDel="00000000" w:rsidR="00000000" w:rsidRPr="00000000">
              <w:rPr>
                <w:color w:val="000000"/>
                <w:rtl w:val="0"/>
              </w:rPr>
              <w:t xml:space="preserve"> Интерпретировать специфику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семьи и регистрации актов гражданского состояния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3 – </w:t>
            </w:r>
            <w:r w:rsidDel="00000000" w:rsidR="00000000" w:rsidRPr="00000000">
              <w:rPr>
                <w:b w:val="1"/>
                <w:rtl w:val="0"/>
              </w:rPr>
              <w:t xml:space="preserve">Консультация по выполнению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СРМ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получения государственных услуг по вопросам образования, трудоустройства и занятости.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Сформулировать роль и специфику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образования, трудоустройства и занятости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 3.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получения государственных услуг по вопросам бизнеса.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3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3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получения государственных услуг по вопросам социального обеспечения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прикладной.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порядка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социального обеспечения</w:t>
            </w:r>
            <w:r w:rsidDel="00000000" w:rsidR="00000000" w:rsidRPr="00000000">
              <w:rPr>
                <w:color w:val="000000"/>
                <w:rtl w:val="0"/>
              </w:rPr>
              <w:t xml:space="preserve">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4 – Консультация по выполнению СРМ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4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Л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Получение населением услуг в сфере гражданства, миграции, иммиграций и консульских услуг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содержание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населением услуг в сфере гражданства, миграции, иммиграций и консульских услуг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jc w:val="both"/>
              <w:rPr>
                <w:color w:val="ff0000"/>
              </w:rPr>
            </w:pPr>
            <w:bookmarkStart w:colFirst="0" w:colLast="0" w:name="_bzzl7i4i208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СРМ 4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создания инклюзивной платформы получения государственных услуг.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Получение населением государственных услуг по вопросам недвижимости.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Аргументировать особенности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населением государственных услуг по вопросам недвижимости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5 – Консультация по выполнению СРМ 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Получение населения услуг по налогам и таможне, а также по другим финансовым вопросам.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населения услуг по налогам и таможне, а также по другим финансовым вопросам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 5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Основные достижения и проблемы дальнейшего развития цифровизации государственных услуг и правовое закрепление этих процессов.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Правовое обеспечение цифровизации юридических услуг населению.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Иллюстрировать особенности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цифровизации юридических услуг населению </w:t>
            </w:r>
            <w:r w:rsidDel="00000000" w:rsidR="00000000" w:rsidRPr="00000000">
              <w:rPr>
                <w:color w:val="000000"/>
                <w:rtl w:val="0"/>
              </w:rPr>
              <w:t xml:space="preserve">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Получение населением услуг по вопросам транспорта и коммуникаций.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разновидностям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населением услуг по вопросам транспорта и коммуникаций.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зарубежных стран в правовом обеспечении государственных услуг и практики его реализации.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Оценить современный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зарубежных стран в правовом обеспечении государственных услуг и дать оценку практике его реализации.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tabs>
                <w:tab w:val="left" w:leader="none" w:pos="2429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6 - Консультация по подготовке к экзаменационным вопросам</w:t>
            </w: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2</w:t>
            </w:r>
          </w:p>
        </w:tc>
        <w:tc>
          <w:tcPr/>
          <w:p w:rsidR="00000000" w:rsidDel="00000000" w:rsidP="00000000" w:rsidRDefault="00000000" w:rsidRPr="00000000" w14:paraId="0000028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C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за дисциплину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9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3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Декан факультета</w:t>
        <w:tab/>
        <w:tab/>
        <w:tab/>
        <w:tab/>
        <w:tab/>
        <w:tab/>
        <w:tab/>
        <w:tab/>
        <w:t xml:space="preserve">Ахатов У.А.</w:t>
      </w:r>
    </w:p>
    <w:p w:rsidR="00000000" w:rsidDel="00000000" w:rsidP="00000000" w:rsidRDefault="00000000" w:rsidRPr="00000000" w14:paraId="00000294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Председатель Академического комитета                                                                           Урисбаева А.А.</w:t>
      </w:r>
    </w:p>
    <w:p w:rsidR="00000000" w:rsidDel="00000000" w:rsidP="00000000" w:rsidRDefault="00000000" w:rsidRPr="00000000" w14:paraId="00000296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Заведующий кафедрой</w:t>
        <w:tab/>
        <w:t xml:space="preserve">    </w:t>
        <w:tab/>
        <w:tab/>
        <w:tab/>
        <w:tab/>
        <w:t xml:space="preserve">                                           Усеинова К.Р. </w:t>
      </w:r>
    </w:p>
    <w:p w:rsidR="00000000" w:rsidDel="00000000" w:rsidP="00000000" w:rsidRDefault="00000000" w:rsidRPr="00000000" w14:paraId="00000298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ab/>
        <w:t xml:space="preserve">                             Баймаханова Д.М.</w:t>
      </w:r>
    </w:p>
    <w:p w:rsidR="00000000" w:rsidDel="00000000" w:rsidP="00000000" w:rsidRDefault="00000000" w:rsidRPr="00000000" w14:paraId="0000029A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1276"/>
        </w:tabs>
        <w:rPr>
          <w:b w:val="1"/>
          <w:sz w:val="20"/>
          <w:szCs w:val="20"/>
        </w:rPr>
        <w:sectPr>
          <w:pgSz w:h="16838" w:w="11906" w:orient="portrait"/>
          <w:pgMar w:bottom="1418" w:top="568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9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A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A1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1 «</w:t>
      </w:r>
      <w:r w:rsidDel="00000000" w:rsidR="00000000" w:rsidRPr="00000000">
        <w:rPr>
          <w:b w:val="1"/>
          <w:rtl w:val="0"/>
        </w:rPr>
        <w:t xml:space="preserve">Понятие правового регулирования (обеспечения) общественных отношений, его специфика сфере государственных услуг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правового регулирования (обеспечения) общественных отношений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и видов правового регулирования (обеспечения) общественных отношений.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правового регулирования (обеспечения) общественных отношений.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правового регулирования (обеспечения) общественных отношений.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правового регулирования (обеспечения) общественных отношений.   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Осознание ключевых вопросов специфики субъектов правового регулирования общественных отношений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субъектов правового регулирования общественных отношений.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субъектов правового регулирования общественных отношений</w:t>
            </w:r>
            <w:r w:rsidDel="00000000" w:rsidR="00000000" w:rsidRPr="00000000">
              <w:rPr>
                <w:rtl w:val="0"/>
              </w:rPr>
              <w:t xml:space="preserve">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субъектов правового регулирования общественных отношений </w:t>
            </w:r>
            <w:r w:rsidDel="00000000" w:rsidR="00000000" w:rsidRPr="00000000">
              <w:rPr>
                <w:rtl w:val="0"/>
              </w:rPr>
              <w:t xml:space="preserve">с контекстом Казахстана.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субъектов правового регулирования общественных отношений </w:t>
            </w:r>
            <w:r w:rsidDel="00000000" w:rsidR="00000000" w:rsidRPr="00000000">
              <w:rPr>
                <w:rtl w:val="0"/>
              </w:rPr>
              <w:t xml:space="preserve">с контекстом Казахстана.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Предлагает грамотные практические рекомендации, предложения по укреплению методов правового регулирования общественных отношений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.  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методов правового регулирования общественных отношений</w:t>
            </w:r>
            <w:r w:rsidDel="00000000" w:rsidR="00000000" w:rsidRPr="00000000">
              <w:rPr>
                <w:rtl w:val="0"/>
              </w:rPr>
              <w:t xml:space="preserve"> 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методов правового регулирования общественных отношений</w:t>
            </w:r>
            <w:r w:rsidDel="00000000" w:rsidR="00000000" w:rsidRPr="00000000">
              <w:rPr>
                <w:rtl w:val="0"/>
              </w:rPr>
              <w:t xml:space="preserve">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APA-стилю.  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2C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D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DA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DB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2 -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Правовое обеспечение получения государственных услуг по вопросам здравоохранения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</w:p>
    <w:p w:rsidR="00000000" w:rsidDel="00000000" w:rsidP="00000000" w:rsidRDefault="00000000" w:rsidRPr="00000000" w14:paraId="000002D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прикрепления к медицинской организации, оказывающей первичную медико-санитарную помощь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прикрепления к медицинской организации, оказывающей первичную медико-санитарную помощь</w:t>
            </w:r>
            <w:r w:rsidDel="00000000" w:rsidR="00000000" w:rsidRPr="00000000">
              <w:rPr>
                <w:rtl w:val="0"/>
              </w:rPr>
              <w:t xml:space="preserve">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прикрепления к медицинской организации, оказывающей первичную медико-санитарную помощь</w:t>
            </w:r>
            <w:r w:rsidDel="00000000" w:rsidR="00000000" w:rsidRPr="00000000">
              <w:rPr>
                <w:rtl w:val="0"/>
              </w:rPr>
              <w:t xml:space="preserve">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прикрепления к медицинской организации, оказывающей первичную медико-санитарную помощь</w:t>
            </w:r>
            <w:r w:rsidDel="00000000" w:rsidR="00000000" w:rsidRPr="00000000">
              <w:rPr>
                <w:rtl w:val="0"/>
              </w:rPr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прикрепления к медицинской организации, оказывающей первичную медико-санитарную помощь</w:t>
            </w:r>
            <w:r w:rsidDel="00000000" w:rsidR="00000000" w:rsidRPr="00000000">
              <w:rPr>
                <w:rtl w:val="0"/>
              </w:rPr>
              <w:t xml:space="preserve">.   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получения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справки о состоянии\несостоянии лица на учете в туберкулезном диспансере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получения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справки о состоянии\несостоянии лица на учете в туберкулезном диспансере</w:t>
            </w:r>
            <w:r w:rsidDel="00000000" w:rsidR="00000000" w:rsidRPr="00000000">
              <w:rPr>
                <w:rtl w:val="0"/>
              </w:rPr>
              <w:t xml:space="preserve">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получения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справки о состоянии\несостоянии лица на учете в туберкулезном диспансере</w:t>
            </w:r>
            <w:r w:rsidDel="00000000" w:rsidR="00000000" w:rsidRPr="00000000">
              <w:rPr>
                <w:rtl w:val="0"/>
              </w:rPr>
              <w:t xml:space="preserve">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получения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справки о состоянии\несостоянии лица на учете в туберкулезном диспансере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получения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справки о состоянии\несостоянии лица на учете в туберкулезном диспансере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совершенствованию получения справки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 состоянии\несостоянии лица на учете в психоневрологическом, наркологическом диспансере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.  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совершенствованию получения справки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 состоянии\несостоянии лица на учете в психоневрологическом, наркологическом диспансере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совершенствованию получения справки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 состоянии\несостоянии лица на учете в психоневрологическом, наркологическом диспансере</w:t>
            </w:r>
            <w:r w:rsidDel="00000000" w:rsidR="00000000" w:rsidRPr="00000000">
              <w:rPr>
                <w:rtl w:val="0"/>
              </w:rPr>
              <w:t xml:space="preserve">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APA-стилю.  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06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0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0A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0B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3 -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Правовое обеспечение получения государственных услуг по вопросам бизнеса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</w:p>
    <w:p w:rsidR="00000000" w:rsidDel="00000000" w:rsidP="00000000" w:rsidRDefault="00000000" w:rsidRPr="00000000" w14:paraId="0000030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бизнеса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бизнеса</w:t>
            </w:r>
            <w:r w:rsidDel="00000000" w:rsidR="00000000" w:rsidRPr="00000000">
              <w:rPr>
                <w:rtl w:val="0"/>
              </w:rPr>
              <w:t xml:space="preserve">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бизнеса</w:t>
            </w:r>
            <w:r w:rsidDel="00000000" w:rsidR="00000000" w:rsidRPr="00000000">
              <w:rPr>
                <w:rtl w:val="0"/>
              </w:rPr>
              <w:t xml:space="preserve">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бизнеса</w:t>
            </w:r>
            <w:r w:rsidDel="00000000" w:rsidR="00000000" w:rsidRPr="00000000">
              <w:rPr>
                <w:rtl w:val="0"/>
              </w:rPr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получения государственных услуг по вопросам бизнеса</w:t>
            </w:r>
            <w:r w:rsidDel="00000000" w:rsidR="00000000" w:rsidRPr="00000000">
              <w:rPr>
                <w:rtl w:val="0"/>
              </w:rPr>
              <w:t xml:space="preserve">.   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регистрации ТОО или ИП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регистрации ТОО или ИП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регистрации ТОО или ИП в РК.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регистрации ТОО или ИП в РК с контекстом Казахстана.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регистрации ТОО или ИП в РК с контекстом Казахстана.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лицензий и разрешений</w:t>
            </w:r>
            <w:r w:rsidDel="00000000" w:rsidR="00000000" w:rsidRPr="00000000">
              <w:rPr>
                <w:rtl w:val="0"/>
              </w:rPr>
              <w:t xml:space="preserve">.  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лицензий и разрешений</w:t>
            </w:r>
            <w:r w:rsidDel="00000000" w:rsidR="00000000" w:rsidRPr="00000000">
              <w:rPr>
                <w:rtl w:val="0"/>
              </w:rPr>
              <w:t xml:space="preserve"> 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получения лицензий и разрешений</w:t>
            </w:r>
            <w:r w:rsidDel="00000000" w:rsidR="00000000" w:rsidRPr="00000000">
              <w:rPr>
                <w:rtl w:val="0"/>
              </w:rPr>
              <w:t xml:space="preserve">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APA-стилю.  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3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3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3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40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4 -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Правовое обеспечение создания инклюзивной платформы получения государственных услуг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4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правового обеспечения </w:t>
            </w:r>
            <w:r w:rsidDel="00000000" w:rsidR="00000000" w:rsidRPr="00000000">
              <w:rPr>
                <w:b w:val="1"/>
                <w:rtl w:val="0"/>
              </w:rPr>
              <w:t xml:space="preserve">создания инклюзивной платформы получения государственных услуг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</w:t>
            </w:r>
            <w:r w:rsidDel="00000000" w:rsidR="00000000" w:rsidRPr="00000000">
              <w:rPr>
                <w:rtl w:val="0"/>
              </w:rPr>
              <w:t xml:space="preserve">создания инклюзивной платформы получения государственных услуг.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</w:t>
            </w:r>
            <w:r w:rsidDel="00000000" w:rsidR="00000000" w:rsidRPr="00000000">
              <w:rPr>
                <w:rtl w:val="0"/>
              </w:rPr>
              <w:t xml:space="preserve">создания инклюзивной платформы получения государственных услуг.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</w:t>
            </w:r>
            <w:r w:rsidDel="00000000" w:rsidR="00000000" w:rsidRPr="00000000">
              <w:rPr>
                <w:rtl w:val="0"/>
              </w:rPr>
              <w:t xml:space="preserve">создания инклюзивной платформы получения государственных услуг.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правового обеспечения </w:t>
            </w:r>
            <w:r w:rsidDel="00000000" w:rsidR="00000000" w:rsidRPr="00000000">
              <w:rPr>
                <w:rtl w:val="0"/>
              </w:rPr>
              <w:t xml:space="preserve">создания инклюзивной платформы получения государственных услуг.   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доступа к egov для слабовидящих и незрячих граждан через голосовую и текстовую навигацию</w:t>
            </w:r>
            <w:r w:rsidDel="00000000" w:rsidR="00000000" w:rsidRPr="00000000">
              <w:rPr>
                <w:b w:val="1"/>
                <w:rtl w:val="0"/>
              </w:rPr>
              <w:t xml:space="preserve"> 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доступа к egov для слабовидящих и незрячих граждан через голосовую и текстовую навигацию</w:t>
            </w:r>
            <w:r w:rsidDel="00000000" w:rsidR="00000000" w:rsidRPr="00000000">
              <w:rPr>
                <w:rtl w:val="0"/>
              </w:rPr>
              <w:t xml:space="preserve">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специфики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доступа к egov для слабовидящих и незрячих граждан через голосовую и текстовую навигацию</w:t>
            </w:r>
            <w:r w:rsidDel="00000000" w:rsidR="00000000" w:rsidRPr="00000000">
              <w:rPr>
                <w:rtl w:val="0"/>
              </w:rPr>
              <w:t xml:space="preserve">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специфики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доступа к egov для слабовидящих и незрячих граждан через голосовую и текстовую навигацию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доступа к egov для слабовидящих и незрячих граждан через голосовую и текстовую навигацию</w:t>
            </w:r>
            <w:r w:rsidDel="00000000" w:rsidR="00000000" w:rsidRPr="00000000">
              <w:rPr>
                <w:b w:val="1"/>
                <w:rtl w:val="0"/>
              </w:rPr>
              <w:t xml:space="preserve">  </w:t>
            </w:r>
            <w:r w:rsidDel="00000000" w:rsidR="00000000" w:rsidRPr="00000000">
              <w:rPr>
                <w:rtl w:val="0"/>
              </w:rPr>
              <w:t xml:space="preserve">с контекстом Казахстана.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других форм цифровизации инклюзии государственных услуг</w:t>
            </w:r>
            <w:r w:rsidDel="00000000" w:rsidR="00000000" w:rsidRPr="00000000">
              <w:rPr>
                <w:rtl w:val="0"/>
              </w:rPr>
              <w:t xml:space="preserve">.  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других форм цифровизации инклюзии государственных услуг</w:t>
            </w:r>
            <w:r w:rsidDel="00000000" w:rsidR="00000000" w:rsidRPr="00000000">
              <w:rPr>
                <w:rtl w:val="0"/>
              </w:rPr>
              <w:t xml:space="preserve"> 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других форм цифровизации инклюзии государственных услуг</w:t>
            </w:r>
            <w:r w:rsidDel="00000000" w:rsidR="00000000" w:rsidRPr="00000000">
              <w:rPr>
                <w:rtl w:val="0"/>
              </w:rPr>
              <w:t xml:space="preserve">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APA-стилю.  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6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6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6A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6B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5 -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Основные достижения и проблемы дальнейшего развития цифровизации государственных услуг и правовое закрепление этих процессов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6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15-24% 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основных достижений и проблем дальнейшего развития цифровизации государственных услуг и правовое закрепление этих процессов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основных достижений и проблем дальнейшего развития цифровизации государственных услуг и правовое закрепление этих процессов</w:t>
            </w:r>
            <w:r w:rsidDel="00000000" w:rsidR="00000000" w:rsidRPr="00000000">
              <w:rPr>
                <w:rtl w:val="0"/>
              </w:rPr>
              <w:t xml:space="preserve">. Предоставляются соответствующие и релевантные ссылки (цитаты) на ключевые источники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основных достижений и проблем дальнейшего развития цифровизации государственных услуг и правовое закрепление этих процессов</w:t>
            </w:r>
            <w:r w:rsidDel="00000000" w:rsidR="00000000" w:rsidRPr="00000000">
              <w:rPr>
                <w:rtl w:val="0"/>
              </w:rPr>
              <w:t xml:space="preserve">. Предоставляются ссылки (цитаты) на ключевые источники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основных достижений и проблем дальнейшего развития цифровизации государственных услуг и правовое закрепление этих процессов</w:t>
            </w:r>
            <w:r w:rsidDel="00000000" w:rsidR="00000000" w:rsidRPr="00000000">
              <w:rPr>
                <w:rtl w:val="0"/>
              </w:rPr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основных достижений и проблем дальнейшего развития цифровизации государственных услуг и правовое закрепление этих процессов</w:t>
            </w:r>
            <w:r w:rsidDel="00000000" w:rsidR="00000000" w:rsidRPr="00000000">
              <w:rPr>
                <w:rtl w:val="0"/>
              </w:rPr>
              <w:t xml:space="preserve">.   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работы EGOV и мобильных приложений в РК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работы EGOV и мобильных приложений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работы EGOV и мобильных приложений в РК. Подкрепляет аргументы доказательствами эмпирического исследования.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работы EGOV и мобильных приложений в РК с контекстом Казахстана.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работы EGOV и мобильных приложений в РК с контекстом Казахстана.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выходу на международный уровень сотрудничества.  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выходу на международный уровень сотрудничества.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выходу на международный уровень сотрудничества. Рекомендации несущественны, не основаны на тщательном анализе и неглубоки.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APA-стилю.  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9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56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elibrary.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ilet.zan.kz/rus/docs/Z1500000416" TargetMode="External"/><Relationship Id="rId15" Type="http://schemas.openxmlformats.org/officeDocument/2006/relationships/hyperlink" Target="mailto:dina_405@mail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6" Type="http://schemas.openxmlformats.org/officeDocument/2006/relationships/hyperlink" Target="https://teams.live.com/meet/9468524978539?p=lx5cnYWAXOQuKwRp" TargetMode="External"/><Relationship Id="rId5" Type="http://schemas.openxmlformats.org/officeDocument/2006/relationships/styles" Target="styles.xml"/><Relationship Id="rId6" Type="http://schemas.openxmlformats.org/officeDocument/2006/relationships/hyperlink" Target="mailto:ina_405@mail.ru" TargetMode="External"/><Relationship Id="rId7" Type="http://schemas.openxmlformats.org/officeDocument/2006/relationships/hyperlink" Target="mailto:ina_405@mail.ru" TargetMode="External"/><Relationship Id="rId8" Type="http://schemas.openxmlformats.org/officeDocument/2006/relationships/hyperlink" Target="https://online.zakon.kz/Document/?doc_id=100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